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2513887</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SSB adaptation for R19 NES</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6.15.2.2</w:t>
      </w:r>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Until last RAN4 meeting, both OD-SSB and SSB adaptation have already achieved good progress and the core part of R19 NES was completed. Based on the scheduling, the discussion on the performance part would still continue in this meeting. The discussion on the test cases was developed and some initial progress were achieved in [1]. In this paper, we provide our vie</w:t>
      </w:r>
      <w:bookmarkStart w:id="0" w:name="_GoBack"/>
      <w:bookmarkEnd w:id="0"/>
      <w:r>
        <w:rPr>
          <w:rFonts w:hint="eastAsia" w:cs="Arial"/>
          <w:lang w:val="en-US" w:eastAsia="zh-CN"/>
        </w:rPr>
        <w:t>ws on the performance part of SSB adaptation.</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39CC443">
      <w:pPr>
        <w:pStyle w:val="9"/>
        <w:numPr>
          <w:ilvl w:val="0"/>
          <w:numId w:val="0"/>
        </w:numPr>
        <w:bidi w:val="0"/>
        <w:ind w:leftChars="0"/>
        <w:rPr>
          <w:rFonts w:hint="eastAsia"/>
          <w:lang w:val="en-US" w:eastAsia="zh-CN"/>
        </w:rPr>
      </w:pPr>
      <w:r>
        <w:rPr>
          <w:rFonts w:hint="eastAsia"/>
          <w:lang w:val="en-US" w:eastAsia="zh-CN"/>
        </w:rPr>
        <w:t>Based on the core part discussion during previous meetings, It is confirmed that there are RRM impact by SSB adaptation for the following cases around SCell:</w:t>
      </w:r>
    </w:p>
    <w:p w14:paraId="58046EC0">
      <w:pPr>
        <w:pStyle w:val="9"/>
        <w:numPr>
          <w:ilvl w:val="0"/>
          <w:numId w:val="0"/>
        </w:numPr>
        <w:bidi w:val="0"/>
        <w:ind w:leftChars="100"/>
        <w:rPr>
          <w:rFonts w:hint="eastAsia"/>
          <w:lang w:val="en-US" w:eastAsia="zh-CN"/>
        </w:rPr>
      </w:pPr>
      <w:r>
        <w:rPr>
          <w:rFonts w:hint="eastAsia"/>
          <w:lang w:val="en-US" w:eastAsia="zh-CN"/>
        </w:rPr>
        <w:t>-  L1-RSRP</w:t>
      </w:r>
    </w:p>
    <w:p w14:paraId="17D21BBD">
      <w:pPr>
        <w:pStyle w:val="9"/>
        <w:numPr>
          <w:ilvl w:val="0"/>
          <w:numId w:val="0"/>
        </w:numPr>
        <w:bidi w:val="0"/>
        <w:ind w:leftChars="100"/>
        <w:rPr>
          <w:rFonts w:hint="eastAsia"/>
          <w:lang w:val="en-US" w:eastAsia="zh-CN"/>
        </w:rPr>
      </w:pPr>
      <w:r>
        <w:rPr>
          <w:rFonts w:hint="eastAsia"/>
          <w:lang w:val="en-US" w:eastAsia="zh-CN"/>
        </w:rPr>
        <w:t>-  L1-SINR</w:t>
      </w:r>
    </w:p>
    <w:p w14:paraId="66679817">
      <w:pPr>
        <w:pStyle w:val="9"/>
        <w:numPr>
          <w:ilvl w:val="0"/>
          <w:numId w:val="0"/>
        </w:numPr>
        <w:bidi w:val="0"/>
        <w:ind w:leftChars="100"/>
        <w:rPr>
          <w:rFonts w:hint="eastAsia"/>
          <w:lang w:val="en-US" w:eastAsia="zh-CN"/>
        </w:rPr>
      </w:pPr>
      <w:r>
        <w:rPr>
          <w:rFonts w:hint="eastAsia"/>
          <w:lang w:val="en-US" w:eastAsia="zh-CN"/>
        </w:rPr>
        <w:t>-  CBD</w:t>
      </w:r>
    </w:p>
    <w:p w14:paraId="011DD5AE">
      <w:pPr>
        <w:pStyle w:val="9"/>
        <w:numPr>
          <w:ilvl w:val="0"/>
          <w:numId w:val="0"/>
        </w:numPr>
        <w:bidi w:val="0"/>
        <w:ind w:leftChars="100"/>
        <w:rPr>
          <w:rFonts w:hint="eastAsia"/>
          <w:lang w:val="en-US" w:eastAsia="zh-CN"/>
        </w:rPr>
      </w:pPr>
      <w:r>
        <w:rPr>
          <w:rFonts w:hint="eastAsia"/>
          <w:lang w:val="en-US" w:eastAsia="zh-CN"/>
        </w:rPr>
        <w:t>-  TCI state switching</w:t>
      </w:r>
    </w:p>
    <w:p w14:paraId="7CCBECF3">
      <w:pPr>
        <w:pStyle w:val="9"/>
        <w:numPr>
          <w:ilvl w:val="0"/>
          <w:numId w:val="0"/>
        </w:numPr>
        <w:bidi w:val="0"/>
        <w:ind w:leftChars="100"/>
        <w:rPr>
          <w:rFonts w:hint="eastAsia"/>
          <w:lang w:val="en-US" w:eastAsia="zh-CN"/>
        </w:rPr>
      </w:pPr>
      <w:r>
        <w:rPr>
          <w:rFonts w:hint="eastAsia"/>
          <w:lang w:val="en-US" w:eastAsia="zh-CN"/>
        </w:rPr>
        <w:t xml:space="preserve">-  NR intra/inter-frequency L3 measurement </w:t>
      </w:r>
    </w:p>
    <w:p w14:paraId="564888C0">
      <w:pPr>
        <w:pStyle w:val="9"/>
        <w:numPr>
          <w:ilvl w:val="0"/>
          <w:numId w:val="0"/>
        </w:numPr>
        <w:bidi w:val="0"/>
        <w:rPr>
          <w:rFonts w:hint="eastAsia"/>
          <w:lang w:val="en-US" w:eastAsia="zh-CN"/>
        </w:rPr>
      </w:pPr>
      <w:r>
        <w:rPr>
          <w:rFonts w:hint="eastAsia"/>
          <w:lang w:val="en-US" w:eastAsia="zh-CN"/>
        </w:rPr>
        <w:t>Since RAN2 does not achieve further progress to revert the existing specification around which operation is not intended for the deactivated SCell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B68D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3F7F312F">
            <w:pPr>
              <w:overflowPunct w:val="0"/>
              <w:autoSpaceDE w:val="0"/>
              <w:autoSpaceDN w:val="0"/>
              <w:adjustRightInd w:val="0"/>
              <w:spacing w:after="0" w:line="360" w:lineRule="auto"/>
              <w:jc w:val="both"/>
              <w:textAlignment w:val="baseline"/>
              <w:rPr>
                <w:rFonts w:eastAsia="Yu Mincho"/>
                <w:color w:val="auto"/>
                <w:lang w:eastAsia="zh-CN"/>
              </w:rPr>
            </w:pPr>
            <w:r>
              <w:rPr>
                <w:rFonts w:eastAsia="Yu Mincho"/>
                <w:color w:val="auto"/>
                <w:lang w:eastAsia="zh-CN"/>
              </w:rPr>
              <w:t>TS 38.321</w:t>
            </w:r>
          </w:p>
          <w:p w14:paraId="32E6ECEA">
            <w:pPr>
              <w:pStyle w:val="31"/>
              <w:overflowPunct w:val="0"/>
              <w:autoSpaceDE w:val="0"/>
              <w:autoSpaceDN w:val="0"/>
              <w:adjustRightInd w:val="0"/>
              <w:spacing w:after="0" w:line="360" w:lineRule="auto"/>
              <w:textAlignment w:val="baseline"/>
              <w:rPr>
                <w:rFonts w:eastAsia="Yu Mincho"/>
                <w:color w:val="auto"/>
              </w:rPr>
            </w:pPr>
            <w:r>
              <w:rPr>
                <w:rFonts w:eastAsia="Yu Mincho"/>
                <w:color w:val="auto"/>
                <w:lang w:eastAsia="ko-KR"/>
              </w:rPr>
              <w:t>1&gt;</w:t>
            </w:r>
            <w:r>
              <w:rPr>
                <w:rFonts w:eastAsia="Yu Mincho"/>
                <w:color w:val="auto"/>
              </w:rPr>
              <w:tab/>
            </w:r>
            <w:r>
              <w:rPr>
                <w:rFonts w:eastAsia="Yu Mincho"/>
                <w:color w:val="auto"/>
              </w:rPr>
              <w:t xml:space="preserve">if the SCell </w:t>
            </w:r>
            <w:r>
              <w:rPr>
                <w:rFonts w:eastAsia="Yu Mincho"/>
                <w:color w:val="auto"/>
                <w:highlight w:val="yellow"/>
              </w:rPr>
              <w:t>is deactivated</w:t>
            </w:r>
            <w:r>
              <w:rPr>
                <w:rFonts w:eastAsia="Yu Mincho"/>
                <w:color w:val="auto"/>
              </w:rPr>
              <w:t>:</w:t>
            </w:r>
          </w:p>
          <w:p w14:paraId="31991B24">
            <w:pPr>
              <w:pStyle w:val="59"/>
              <w:numPr>
                <w:ilvl w:val="0"/>
                <w:numId w:val="0"/>
              </w:numPr>
              <w:overflowPunct w:val="0"/>
              <w:autoSpaceDE w:val="0"/>
              <w:autoSpaceDN w:val="0"/>
              <w:adjustRightInd w:val="0"/>
              <w:spacing w:after="0" w:line="360" w:lineRule="auto"/>
              <w:ind w:leftChars="200"/>
              <w:textAlignment w:val="baseline"/>
              <w:rPr>
                <w:rFonts w:eastAsia="Yu Mincho"/>
                <w:color w:val="auto"/>
              </w:rPr>
            </w:pPr>
            <w:r>
              <w:rPr>
                <w:rFonts w:eastAsia="Yu Mincho"/>
                <w:color w:val="auto"/>
                <w:lang w:eastAsia="ko-KR"/>
              </w:rPr>
              <w:t>2&gt;</w:t>
            </w:r>
            <w:r>
              <w:rPr>
                <w:rFonts w:eastAsia="Yu Mincho"/>
                <w:color w:val="auto"/>
              </w:rPr>
              <w:tab/>
            </w:r>
            <w:r>
              <w:rPr>
                <w:rFonts w:eastAsia="Yu Mincho"/>
                <w:color w:val="auto"/>
              </w:rPr>
              <w:t>not transmit SRS on the SCell;</w:t>
            </w:r>
          </w:p>
          <w:p w14:paraId="501DD3B4">
            <w:pPr>
              <w:pStyle w:val="59"/>
              <w:numPr>
                <w:ilvl w:val="0"/>
                <w:numId w:val="0"/>
              </w:numPr>
              <w:overflowPunct w:val="0"/>
              <w:autoSpaceDE w:val="0"/>
              <w:autoSpaceDN w:val="0"/>
              <w:adjustRightInd w:val="0"/>
              <w:spacing w:after="0" w:line="360" w:lineRule="auto"/>
              <w:ind w:leftChars="200"/>
              <w:textAlignment w:val="baseline"/>
              <w:rPr>
                <w:rFonts w:eastAsia="Yu Mincho"/>
                <w:color w:val="auto"/>
                <w:lang w:eastAsia="ko-KR"/>
              </w:rPr>
            </w:pPr>
            <w:r>
              <w:rPr>
                <w:rFonts w:eastAsia="Yu Mincho"/>
                <w:color w:val="auto"/>
                <w:lang w:eastAsia="ko-KR"/>
              </w:rPr>
              <w:t>2&gt;</w:t>
            </w:r>
            <w:r>
              <w:rPr>
                <w:rFonts w:eastAsia="Yu Mincho"/>
                <w:color w:val="auto"/>
                <w:lang w:eastAsia="ko-KR"/>
              </w:rPr>
              <w:tab/>
            </w:r>
            <w:r>
              <w:rPr>
                <w:rFonts w:eastAsia="Yu Mincho"/>
                <w:color w:val="auto"/>
                <w:lang w:eastAsia="ko-KR"/>
              </w:rPr>
              <w:t>not report CSI for the SCell;</w:t>
            </w:r>
          </w:p>
          <w:p w14:paraId="0F60970D">
            <w:pPr>
              <w:pStyle w:val="59"/>
              <w:numPr>
                <w:ilvl w:val="0"/>
                <w:numId w:val="0"/>
              </w:numPr>
              <w:overflowPunct w:val="0"/>
              <w:autoSpaceDE w:val="0"/>
              <w:autoSpaceDN w:val="0"/>
              <w:adjustRightInd w:val="0"/>
              <w:spacing w:after="0" w:line="360" w:lineRule="auto"/>
              <w:ind w:leftChars="200"/>
              <w:textAlignment w:val="baseline"/>
              <w:rPr>
                <w:rFonts w:eastAsia="Yu Mincho"/>
                <w:color w:val="auto"/>
                <w:lang w:eastAsia="ko-KR"/>
              </w:rPr>
            </w:pPr>
            <w:r>
              <w:rPr>
                <w:rFonts w:eastAsia="Yu Mincho"/>
                <w:color w:val="auto"/>
                <w:lang w:eastAsia="ko-KR"/>
              </w:rPr>
              <w:t>2&gt;</w:t>
            </w:r>
            <w:r>
              <w:rPr>
                <w:rFonts w:eastAsia="Yu Mincho"/>
                <w:color w:val="auto"/>
                <w:lang w:eastAsia="ko-KR"/>
              </w:rPr>
              <w:tab/>
            </w:r>
            <w:r>
              <w:rPr>
                <w:rFonts w:eastAsia="Yu Mincho"/>
                <w:color w:val="auto"/>
                <w:lang w:eastAsia="ko-KR"/>
              </w:rPr>
              <w:t>not transmit on UL-SCH on the SCell;</w:t>
            </w:r>
          </w:p>
          <w:p w14:paraId="298C7F42">
            <w:pPr>
              <w:pStyle w:val="59"/>
              <w:numPr>
                <w:ilvl w:val="0"/>
                <w:numId w:val="0"/>
              </w:numPr>
              <w:overflowPunct w:val="0"/>
              <w:autoSpaceDE w:val="0"/>
              <w:autoSpaceDN w:val="0"/>
              <w:adjustRightInd w:val="0"/>
              <w:spacing w:after="0" w:line="360" w:lineRule="auto"/>
              <w:ind w:leftChars="200"/>
              <w:textAlignment w:val="baseline"/>
              <w:rPr>
                <w:rFonts w:eastAsia="Yu Mincho"/>
                <w:color w:val="auto"/>
                <w:lang w:eastAsia="ko-KR"/>
              </w:rPr>
            </w:pPr>
            <w:r>
              <w:rPr>
                <w:rFonts w:eastAsia="Yu Mincho"/>
                <w:color w:val="auto"/>
                <w:lang w:eastAsia="ko-KR"/>
              </w:rPr>
              <w:t>2&gt;</w:t>
            </w:r>
            <w:r>
              <w:rPr>
                <w:rFonts w:eastAsia="Yu Mincho"/>
                <w:color w:val="auto"/>
                <w:lang w:eastAsia="ko-KR"/>
              </w:rPr>
              <w:tab/>
            </w:r>
            <w:r>
              <w:rPr>
                <w:rFonts w:eastAsia="Yu Mincho"/>
                <w:color w:val="auto"/>
                <w:lang w:eastAsia="ko-KR"/>
              </w:rPr>
              <w:t>not transmit on RACH on the SCell;</w:t>
            </w:r>
          </w:p>
          <w:p w14:paraId="50053999">
            <w:pPr>
              <w:pStyle w:val="59"/>
              <w:numPr>
                <w:ilvl w:val="0"/>
                <w:numId w:val="0"/>
              </w:numPr>
              <w:overflowPunct w:val="0"/>
              <w:autoSpaceDE w:val="0"/>
              <w:autoSpaceDN w:val="0"/>
              <w:adjustRightInd w:val="0"/>
              <w:spacing w:after="0" w:line="360" w:lineRule="auto"/>
              <w:ind w:leftChars="200"/>
              <w:textAlignment w:val="baseline"/>
              <w:rPr>
                <w:rFonts w:eastAsia="Yu Mincho"/>
                <w:color w:val="auto"/>
                <w:lang w:eastAsia="ko-KR"/>
              </w:rPr>
            </w:pPr>
            <w:r>
              <w:rPr>
                <w:rFonts w:eastAsia="Yu Mincho"/>
                <w:color w:val="auto"/>
                <w:lang w:eastAsia="ko-KR"/>
              </w:rPr>
              <w:t>2&gt;</w:t>
            </w:r>
            <w:r>
              <w:rPr>
                <w:rFonts w:eastAsia="Yu Mincho"/>
                <w:color w:val="auto"/>
                <w:lang w:eastAsia="ko-KR"/>
              </w:rPr>
              <w:tab/>
            </w:r>
            <w:r>
              <w:rPr>
                <w:rFonts w:eastAsia="Yu Mincho"/>
                <w:color w:val="auto"/>
                <w:lang w:eastAsia="ko-KR"/>
              </w:rPr>
              <w:t>not monitor the PDCCH on the SCell;</w:t>
            </w:r>
          </w:p>
          <w:p w14:paraId="7CE1D23C">
            <w:pPr>
              <w:pStyle w:val="59"/>
              <w:numPr>
                <w:ilvl w:val="0"/>
                <w:numId w:val="0"/>
              </w:numPr>
              <w:overflowPunct w:val="0"/>
              <w:autoSpaceDE w:val="0"/>
              <w:autoSpaceDN w:val="0"/>
              <w:adjustRightInd w:val="0"/>
              <w:spacing w:after="0" w:line="360" w:lineRule="auto"/>
              <w:ind w:leftChars="200"/>
              <w:textAlignment w:val="baseline"/>
              <w:rPr>
                <w:rFonts w:eastAsia="Yu Mincho"/>
                <w:color w:val="auto"/>
                <w:lang w:eastAsia="ko-KR"/>
              </w:rPr>
            </w:pPr>
            <w:r>
              <w:rPr>
                <w:rFonts w:eastAsia="Yu Mincho"/>
                <w:color w:val="auto"/>
                <w:lang w:eastAsia="ko-KR"/>
              </w:rPr>
              <w:t>2&gt;</w:t>
            </w:r>
            <w:r>
              <w:rPr>
                <w:rFonts w:eastAsia="Yu Mincho"/>
                <w:color w:val="auto"/>
                <w:lang w:eastAsia="ko-KR"/>
              </w:rPr>
              <w:tab/>
            </w:r>
            <w:r>
              <w:rPr>
                <w:rFonts w:eastAsia="Yu Mincho"/>
                <w:color w:val="auto"/>
                <w:lang w:eastAsia="ko-KR"/>
              </w:rPr>
              <w:t>not monitor the PDCCH for the SCell;</w:t>
            </w:r>
          </w:p>
          <w:p w14:paraId="25731F7B">
            <w:pPr>
              <w:pStyle w:val="59"/>
              <w:numPr>
                <w:ilvl w:val="0"/>
                <w:numId w:val="0"/>
              </w:numPr>
              <w:overflowPunct w:val="0"/>
              <w:autoSpaceDE w:val="0"/>
              <w:autoSpaceDN w:val="0"/>
              <w:adjustRightInd w:val="0"/>
              <w:spacing w:after="0" w:line="360" w:lineRule="auto"/>
              <w:ind w:leftChars="200"/>
              <w:textAlignment w:val="baseline"/>
              <w:rPr>
                <w:rFonts w:eastAsia="Yu Mincho"/>
                <w:color w:val="auto"/>
                <w:lang w:eastAsia="ko-KR"/>
              </w:rPr>
            </w:pPr>
            <w:r>
              <w:rPr>
                <w:rFonts w:eastAsia="Yu Mincho"/>
                <w:color w:val="auto"/>
                <w:lang w:eastAsia="ko-KR"/>
              </w:rPr>
              <w:t>2&gt;</w:t>
            </w:r>
            <w:r>
              <w:rPr>
                <w:rFonts w:eastAsia="Yu Mincho"/>
                <w:color w:val="auto"/>
                <w:lang w:eastAsia="ko-KR"/>
              </w:rPr>
              <w:tab/>
            </w:r>
            <w:r>
              <w:rPr>
                <w:rFonts w:eastAsia="Yu Mincho"/>
                <w:color w:val="auto"/>
                <w:lang w:eastAsia="ko-KR"/>
              </w:rPr>
              <w:t>not transmit PUCCH on the SCell.</w:t>
            </w:r>
          </w:p>
        </w:tc>
      </w:tr>
    </w:tbl>
    <w:p w14:paraId="4E511E8A">
      <w:pPr>
        <w:pStyle w:val="9"/>
        <w:numPr>
          <w:ilvl w:val="0"/>
          <w:numId w:val="0"/>
        </w:numPr>
        <w:bidi w:val="0"/>
        <w:rPr>
          <w:rFonts w:hint="eastAsia"/>
          <w:lang w:val="en-US" w:eastAsia="zh-CN"/>
        </w:rPr>
      </w:pPr>
      <w:r>
        <w:rPr>
          <w:rFonts w:hint="eastAsia"/>
          <w:lang w:val="en-US" w:eastAsia="zh-CN"/>
        </w:rPr>
        <w:t>So no need to consider any test case for the deactivated SCell measurement and the SCell activation procedure.</w:t>
      </w:r>
    </w:p>
    <w:p w14:paraId="45272B63">
      <w:pPr>
        <w:pStyle w:val="9"/>
        <w:numPr>
          <w:ilvl w:val="0"/>
          <w:numId w:val="0"/>
        </w:numPr>
        <w:bidi w:val="0"/>
        <w:rPr>
          <w:rFonts w:hint="default"/>
          <w:lang w:val="en-US" w:eastAsia="zh-CN"/>
        </w:rPr>
      </w:pPr>
      <w:r>
        <w:rPr>
          <w:rFonts w:hint="eastAsia"/>
          <w:lang w:val="en-US" w:eastAsia="zh-CN"/>
        </w:rPr>
        <w:t>Around the L1 measurement, the requirements at transition was defined and the additional UE processing delay was introduced in core part, since it is specific for SSB adaptation, it should be verified. Since the additional processing delay for FR1 and FR2 are different, so both FR1 and FR2 should be verified.</w:t>
      </w:r>
    </w:p>
    <w:p w14:paraId="0D7FCD2C">
      <w:pPr>
        <w:pStyle w:val="9"/>
        <w:numPr>
          <w:ilvl w:val="0"/>
          <w:numId w:val="0"/>
        </w:numPr>
        <w:bidi w:val="0"/>
        <w:rPr>
          <w:rFonts w:hint="eastAsia"/>
          <w:lang w:val="en-US" w:eastAsia="zh-CN"/>
        </w:rPr>
      </w:pPr>
      <w:r>
        <w:rPr>
          <w:rFonts w:hint="eastAsia"/>
          <w:lang w:val="en-US" w:eastAsia="zh-CN"/>
        </w:rPr>
        <w:t>Around the L3 measurement, the requirements at transition was also defined and should be tested. Furthermore, the corresponding SMTC adaptation is accompanied with SSB adaptation. So regarding the test scope, we have the following proposal.</w:t>
      </w:r>
    </w:p>
    <w:p w14:paraId="7804A0EA">
      <w:pPr>
        <w:pStyle w:val="9"/>
        <w:numPr>
          <w:ilvl w:val="0"/>
          <w:numId w:val="0"/>
        </w:numPr>
        <w:bidi w:val="0"/>
        <w:ind w:leftChars="0"/>
        <w:rPr>
          <w:rFonts w:hint="eastAsia"/>
          <w:b/>
          <w:bCs/>
          <w:lang w:val="en-US" w:eastAsia="zh-CN"/>
        </w:rPr>
      </w:pPr>
      <w:r>
        <w:rPr>
          <w:rFonts w:hint="eastAsia"/>
          <w:b/>
          <w:bCs/>
          <w:lang w:val="en-US" w:eastAsia="zh-CN"/>
        </w:rPr>
        <w:t>Proposal 1: The following cases should be verified around the SSB adaptation:</w:t>
      </w:r>
    </w:p>
    <w:p w14:paraId="170D021C">
      <w:pPr>
        <w:pStyle w:val="9"/>
        <w:numPr>
          <w:ilvl w:val="0"/>
          <w:numId w:val="5"/>
        </w:numPr>
        <w:bidi w:val="0"/>
        <w:ind w:left="420" w:leftChars="0" w:hanging="420" w:firstLineChars="0"/>
        <w:rPr>
          <w:rFonts w:hint="default"/>
          <w:b/>
          <w:bCs/>
          <w:lang w:val="en-US" w:eastAsia="zh-CN"/>
        </w:rPr>
      </w:pPr>
      <w:r>
        <w:rPr>
          <w:rFonts w:hint="eastAsia"/>
          <w:b/>
          <w:bCs/>
          <w:lang w:val="en-US" w:eastAsia="zh-CN"/>
        </w:rPr>
        <w:t>The L1-RSRP/L1-SINR measurement on the SCell after SSB adaption in FR1 and FR2;</w:t>
      </w:r>
    </w:p>
    <w:p w14:paraId="4FD81E5E">
      <w:pPr>
        <w:pStyle w:val="9"/>
        <w:numPr>
          <w:ilvl w:val="0"/>
          <w:numId w:val="5"/>
        </w:numPr>
        <w:bidi w:val="0"/>
        <w:ind w:left="420" w:leftChars="0" w:hanging="420" w:firstLineChars="0"/>
        <w:rPr>
          <w:rFonts w:hint="default"/>
          <w:b/>
          <w:bCs/>
          <w:lang w:val="en-US" w:eastAsia="zh-CN"/>
        </w:rPr>
      </w:pPr>
      <w:r>
        <w:rPr>
          <w:rFonts w:hint="eastAsia"/>
          <w:b/>
          <w:bCs/>
          <w:lang w:val="en-US" w:eastAsia="zh-CN"/>
        </w:rPr>
        <w:t>The CBD measurement/evaluation on the SCell after SSB adaption in FR1 and FR2;</w:t>
      </w:r>
    </w:p>
    <w:p w14:paraId="2D9555DB">
      <w:pPr>
        <w:pStyle w:val="9"/>
        <w:numPr>
          <w:ilvl w:val="0"/>
          <w:numId w:val="5"/>
        </w:numPr>
        <w:bidi w:val="0"/>
        <w:ind w:left="420" w:leftChars="0" w:hanging="420" w:firstLineChars="0"/>
        <w:rPr>
          <w:rFonts w:hint="default"/>
          <w:b/>
          <w:bCs/>
          <w:lang w:val="en-US" w:eastAsia="zh-CN"/>
        </w:rPr>
      </w:pPr>
      <w:r>
        <w:rPr>
          <w:rFonts w:hint="eastAsia"/>
          <w:b/>
          <w:bCs/>
          <w:lang w:val="en-US" w:eastAsia="zh-CN"/>
        </w:rPr>
        <w:t>L3 measurement with the adapted SMTC corresponding to the SSB adaptation.</w:t>
      </w: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NES</w:t>
      </w:r>
      <w:r>
        <w:rPr>
          <w:rFonts w:eastAsia="宋体"/>
          <w:bCs/>
          <w:color w:val="auto"/>
          <w:sz w:val="20"/>
          <w:szCs w:val="20"/>
          <w:lang w:val="en-GB" w:eastAsia="zh-CN"/>
        </w:rPr>
        <w:t>:</w:t>
      </w:r>
    </w:p>
    <w:p w14:paraId="17670D34">
      <w:pPr>
        <w:pStyle w:val="9"/>
        <w:numPr>
          <w:ilvl w:val="0"/>
          <w:numId w:val="0"/>
        </w:numPr>
        <w:bidi w:val="0"/>
        <w:ind w:leftChars="0"/>
        <w:rPr>
          <w:rFonts w:hint="eastAsia"/>
          <w:b/>
          <w:bCs/>
          <w:lang w:val="en-US" w:eastAsia="zh-CN"/>
        </w:rPr>
      </w:pPr>
      <w:r>
        <w:rPr>
          <w:rFonts w:hint="eastAsia"/>
          <w:b/>
          <w:bCs/>
          <w:lang w:val="en-US" w:eastAsia="zh-CN"/>
        </w:rPr>
        <w:t>Proposal 1: The following cases should be verified around the SSB adaptation:</w:t>
      </w:r>
    </w:p>
    <w:p w14:paraId="7EF8E085">
      <w:pPr>
        <w:pStyle w:val="9"/>
        <w:numPr>
          <w:ilvl w:val="0"/>
          <w:numId w:val="5"/>
        </w:numPr>
        <w:bidi w:val="0"/>
        <w:ind w:left="420" w:leftChars="0" w:hanging="420" w:firstLineChars="0"/>
        <w:rPr>
          <w:rFonts w:hint="default"/>
          <w:b/>
          <w:bCs/>
          <w:lang w:val="en-US" w:eastAsia="zh-CN"/>
        </w:rPr>
      </w:pPr>
      <w:r>
        <w:rPr>
          <w:rFonts w:hint="eastAsia"/>
          <w:b/>
          <w:bCs/>
          <w:lang w:val="en-US" w:eastAsia="zh-CN"/>
        </w:rPr>
        <w:t>The L1-RSRP/L1-SINR measurement on the SCell after SSB adaption in FR1 and FR2;</w:t>
      </w:r>
    </w:p>
    <w:p w14:paraId="01554437">
      <w:pPr>
        <w:pStyle w:val="9"/>
        <w:numPr>
          <w:ilvl w:val="0"/>
          <w:numId w:val="5"/>
        </w:numPr>
        <w:bidi w:val="0"/>
        <w:ind w:left="420" w:leftChars="0" w:hanging="420" w:firstLineChars="0"/>
        <w:rPr>
          <w:rFonts w:hint="default"/>
          <w:b/>
          <w:bCs/>
          <w:lang w:val="en-US" w:eastAsia="zh-CN"/>
        </w:rPr>
      </w:pPr>
      <w:r>
        <w:rPr>
          <w:rFonts w:hint="eastAsia"/>
          <w:b/>
          <w:bCs/>
          <w:lang w:val="en-US" w:eastAsia="zh-CN"/>
        </w:rPr>
        <w:t>The CBD measurement/evaluation on the SCell after SSB adaption in FR1 and FR2;</w:t>
      </w:r>
    </w:p>
    <w:p w14:paraId="1EFDB49F">
      <w:pPr>
        <w:pStyle w:val="9"/>
        <w:numPr>
          <w:ilvl w:val="0"/>
          <w:numId w:val="5"/>
        </w:numPr>
        <w:bidi w:val="0"/>
        <w:ind w:left="420" w:leftChars="0" w:hanging="420" w:firstLineChars="0"/>
        <w:rPr>
          <w:rFonts w:hint="eastAsia" w:eastAsia="宋体"/>
          <w:bCs/>
          <w:color w:val="auto"/>
          <w:sz w:val="20"/>
          <w:szCs w:val="20"/>
          <w:lang w:val="en-US" w:eastAsia="zh-CN"/>
        </w:rPr>
      </w:pPr>
      <w:r>
        <w:rPr>
          <w:rFonts w:hint="eastAsia"/>
          <w:b/>
          <w:bCs/>
          <w:lang w:val="en-US" w:eastAsia="zh-CN"/>
        </w:rPr>
        <w:t>L3 measurement with the adapted SMTC corresponding to the SSB adaptation.</w:t>
      </w:r>
      <w:r>
        <w:rPr>
          <w:rFonts w:hint="eastAsia" w:eastAsia="宋体"/>
          <w:bCs/>
          <w:color w:val="auto"/>
          <w:sz w:val="20"/>
          <w:szCs w:val="20"/>
          <w:lang w:val="en-US" w:eastAsia="zh-CN"/>
        </w:rPr>
        <w:t xml:space="preserve"> </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10C6361">
      <w:pPr>
        <w:pStyle w:val="10"/>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R4-2512327 WF on RRM requirements for Netw_Energy_NR_enh_Part1, Ericsson, RAN4#116.</w:t>
      </w:r>
    </w:p>
    <w:p w14:paraId="49C990A3">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E5B963E7"/>
    <w:multiLevelType w:val="singleLevel"/>
    <w:tmpl w:val="E5B963E7"/>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E41CAB"/>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6B1B6D"/>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73E06"/>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645EA0"/>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5FD360E"/>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C6D48"/>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4FF7459"/>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72F8D"/>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14970"/>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62328"/>
    <w:rsid w:val="7C190FDC"/>
    <w:rsid w:val="7C1C35A7"/>
    <w:rsid w:val="7C216730"/>
    <w:rsid w:val="7C282F2D"/>
    <w:rsid w:val="7C2A17F0"/>
    <w:rsid w:val="7C45431D"/>
    <w:rsid w:val="7C9A2330"/>
    <w:rsid w:val="7C9D61BC"/>
    <w:rsid w:val="7CA82200"/>
    <w:rsid w:val="7CBF370F"/>
    <w:rsid w:val="7CDC4449"/>
    <w:rsid w:val="7CE0054B"/>
    <w:rsid w:val="7CE41DE7"/>
    <w:rsid w:val="7CF5272C"/>
    <w:rsid w:val="7CF97C7A"/>
    <w:rsid w:val="7CFE7FD2"/>
    <w:rsid w:val="7D027DC3"/>
    <w:rsid w:val="7D084EB2"/>
    <w:rsid w:val="7D0A7433"/>
    <w:rsid w:val="7D1D5E4B"/>
    <w:rsid w:val="7D204D90"/>
    <w:rsid w:val="7D217FDA"/>
    <w:rsid w:val="7D290F22"/>
    <w:rsid w:val="7D300B31"/>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2025-10-03T03:49:11Z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